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409A" w14:textId="77777777" w:rsidR="006341D8" w:rsidRDefault="006341D8" w:rsidP="006341D8">
      <w:pPr>
        <w:pStyle w:val="Default"/>
      </w:pPr>
    </w:p>
    <w:p w14:paraId="1619FFA2" w14:textId="24115FB6" w:rsidR="006341D8" w:rsidRDefault="006341D8" w:rsidP="006341D8">
      <w:pPr>
        <w:ind w:left="720" w:hanging="360"/>
      </w:pPr>
      <w:r>
        <w:rPr>
          <w:b/>
          <w:bCs/>
        </w:rPr>
        <w:t>Preferowane zagadnienia XXX Olimpiady</w:t>
      </w:r>
      <w:r w:rsidR="00871D72">
        <w:rPr>
          <w:b/>
          <w:bCs/>
        </w:rPr>
        <w:t xml:space="preserve"> Wiedzy</w:t>
      </w:r>
      <w:bookmarkStart w:id="0" w:name="_GoBack"/>
      <w:bookmarkEnd w:id="0"/>
      <w:r>
        <w:rPr>
          <w:b/>
          <w:bCs/>
        </w:rPr>
        <w:t xml:space="preserve"> Rolniczej</w:t>
      </w:r>
    </w:p>
    <w:p w14:paraId="7E70995B" w14:textId="77777777" w:rsidR="0093762C" w:rsidRPr="009B11F1" w:rsidRDefault="00D82362" w:rsidP="009B11F1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S</w:t>
      </w:r>
      <w:r w:rsidR="009B11F1" w:rsidRPr="009B11F1">
        <w:rPr>
          <w:rFonts w:ascii="Calibri" w:hAnsi="Calibri" w:cs="Calibri"/>
          <w:color w:val="000000"/>
        </w:rPr>
        <w:t>posoby redukcji emisji gazów cieplarnianych pochodzących z chowu bydła</w:t>
      </w:r>
    </w:p>
    <w:p w14:paraId="40B82F0C" w14:textId="77777777" w:rsidR="009B11F1" w:rsidRDefault="00D82362" w:rsidP="009B11F1">
      <w:pPr>
        <w:pStyle w:val="Akapitzlist"/>
        <w:numPr>
          <w:ilvl w:val="0"/>
          <w:numId w:val="1"/>
        </w:numPr>
      </w:pPr>
      <w:r>
        <w:t>K</w:t>
      </w:r>
      <w:r w:rsidR="009B11F1">
        <w:t xml:space="preserve">orzyści wynikające ze stosowania </w:t>
      </w:r>
      <w:r w:rsidR="009B11F1" w:rsidRPr="009B11F1">
        <w:t>biologicznych środków ochrony roślin w zwalczani</w:t>
      </w:r>
      <w:r w:rsidR="009B11F1">
        <w:t xml:space="preserve">u szkodników i ochronie upraw </w:t>
      </w:r>
    </w:p>
    <w:p w14:paraId="74F1A3EA" w14:textId="77777777" w:rsidR="009B11F1" w:rsidRPr="009B11F1" w:rsidRDefault="009B11F1" w:rsidP="009B11F1">
      <w:pPr>
        <w:pStyle w:val="Akapitzlist"/>
        <w:numPr>
          <w:ilvl w:val="0"/>
          <w:numId w:val="1"/>
        </w:numPr>
      </w:pPr>
      <w:r>
        <w:t>C</w:t>
      </w:r>
      <w:r w:rsidRPr="009B11F1">
        <w:t>zynniki, które odpowiadają za emisję gazów cieplarnianych w sektorze żywnościowym</w:t>
      </w:r>
    </w:p>
    <w:p w14:paraId="752A4FED" w14:textId="77777777" w:rsidR="009B11F1" w:rsidRDefault="009B11F1" w:rsidP="009B11F1">
      <w:pPr>
        <w:pStyle w:val="Akapitzlist"/>
        <w:numPr>
          <w:ilvl w:val="0"/>
          <w:numId w:val="1"/>
        </w:numPr>
      </w:pPr>
      <w:r>
        <w:t>Innowacyjne techniki</w:t>
      </w:r>
      <w:r w:rsidRPr="009B11F1">
        <w:t xml:space="preserve"> aplikacji nawozów</w:t>
      </w:r>
    </w:p>
    <w:p w14:paraId="7349241E" w14:textId="77777777" w:rsidR="009B11F1" w:rsidRDefault="009B11F1" w:rsidP="009B11F1">
      <w:pPr>
        <w:pStyle w:val="Akapitzlist"/>
        <w:numPr>
          <w:ilvl w:val="0"/>
          <w:numId w:val="1"/>
        </w:numPr>
      </w:pPr>
      <w:r w:rsidRPr="009B11F1">
        <w:t>Instrumenty wsparcia finansowego rolnictwa i obszarów wiejskich</w:t>
      </w:r>
      <w:r w:rsidR="00C80DD4">
        <w:t xml:space="preserve"> określone w Planie S</w:t>
      </w:r>
      <w:r>
        <w:t>trategicznym dla WPR  na lata 2023-2027</w:t>
      </w:r>
    </w:p>
    <w:p w14:paraId="57FB77D3" w14:textId="77777777" w:rsidR="009B11F1" w:rsidRDefault="009B11F1" w:rsidP="009B11F1">
      <w:pPr>
        <w:pStyle w:val="Akapitzlist"/>
        <w:numPr>
          <w:ilvl w:val="0"/>
          <w:numId w:val="1"/>
        </w:numPr>
      </w:pPr>
      <w:r w:rsidRPr="009B11F1">
        <w:t>Technika komputerowa w żywieniu bydła</w:t>
      </w:r>
    </w:p>
    <w:p w14:paraId="6530CD44" w14:textId="77777777" w:rsidR="009B11F1" w:rsidRDefault="00C80DD4" w:rsidP="009B0707">
      <w:pPr>
        <w:pStyle w:val="Akapitzlist"/>
        <w:numPr>
          <w:ilvl w:val="0"/>
          <w:numId w:val="1"/>
        </w:numPr>
      </w:pPr>
      <w:r>
        <w:t>N</w:t>
      </w:r>
      <w:r w:rsidR="009B0707" w:rsidRPr="009B0707">
        <w:t>egatywne skutki intensyfikacji rolnictwa</w:t>
      </w:r>
    </w:p>
    <w:p w14:paraId="1C3F8DF6" w14:textId="77777777" w:rsidR="009B11F1" w:rsidRDefault="009B0707" w:rsidP="009B0707">
      <w:pPr>
        <w:pStyle w:val="Akapitzlist"/>
        <w:numPr>
          <w:ilvl w:val="0"/>
          <w:numId w:val="1"/>
        </w:numPr>
      </w:pPr>
      <w:r>
        <w:t>Kwalifikowany materiał siewny</w:t>
      </w:r>
    </w:p>
    <w:p w14:paraId="4D35CB31" w14:textId="77777777" w:rsidR="009B11F1" w:rsidRDefault="009B0707" w:rsidP="009B0707">
      <w:pPr>
        <w:pStyle w:val="Akapitzlist"/>
        <w:numPr>
          <w:ilvl w:val="0"/>
          <w:numId w:val="1"/>
        </w:numPr>
      </w:pPr>
      <w:r>
        <w:t>Z</w:t>
      </w:r>
      <w:r w:rsidRPr="009B0707">
        <w:t>naczenie nowych odmian roślin dla rolnictwa</w:t>
      </w:r>
    </w:p>
    <w:p w14:paraId="23C0F2D1" w14:textId="77777777" w:rsidR="009B11F1" w:rsidRDefault="009B0707" w:rsidP="009B0707">
      <w:pPr>
        <w:pStyle w:val="Akapitzlist"/>
        <w:numPr>
          <w:ilvl w:val="0"/>
          <w:numId w:val="1"/>
        </w:numPr>
      </w:pPr>
      <w:r>
        <w:t>Korzyści wynikające z wykorzystania odbiorników GPS w maszynach rolniczych</w:t>
      </w:r>
    </w:p>
    <w:p w14:paraId="3C2FF180" w14:textId="7C421D84" w:rsidR="009B0707" w:rsidRDefault="009B0707" w:rsidP="009B0707">
      <w:pPr>
        <w:pStyle w:val="Akapitzlist"/>
        <w:numPr>
          <w:ilvl w:val="0"/>
          <w:numId w:val="1"/>
        </w:numPr>
      </w:pPr>
      <w:r w:rsidRPr="009B0707">
        <w:t>Porejestrowe Doświadczalnictw</w:t>
      </w:r>
      <w:r w:rsidR="00CF4706">
        <w:t>o</w:t>
      </w:r>
      <w:r w:rsidRPr="009B0707">
        <w:t xml:space="preserve"> Odmianowe</w:t>
      </w:r>
    </w:p>
    <w:p w14:paraId="16509079" w14:textId="77777777" w:rsidR="009B0707" w:rsidRDefault="009B0707" w:rsidP="009B0707">
      <w:pPr>
        <w:pStyle w:val="Akapitzlist"/>
        <w:numPr>
          <w:ilvl w:val="0"/>
          <w:numId w:val="1"/>
        </w:numPr>
      </w:pPr>
      <w:r w:rsidRPr="009B0707">
        <w:t>Uproszczone systemy uprawy</w:t>
      </w:r>
      <w:r>
        <w:t xml:space="preserve"> </w:t>
      </w:r>
      <w:r w:rsidR="00572018">
        <w:t>–</w:t>
      </w:r>
      <w:r>
        <w:t xml:space="preserve"> </w:t>
      </w:r>
      <w:r w:rsidR="00572018">
        <w:t>uprawa bezorkowa i pasowa</w:t>
      </w:r>
    </w:p>
    <w:p w14:paraId="2BC324AF" w14:textId="77777777" w:rsidR="008C1217" w:rsidRDefault="008C1217" w:rsidP="009B0707">
      <w:pPr>
        <w:pStyle w:val="Akapitzlist"/>
        <w:numPr>
          <w:ilvl w:val="0"/>
          <w:numId w:val="1"/>
        </w:numPr>
      </w:pPr>
      <w:r>
        <w:t>Międzyplony/wsiewki</w:t>
      </w:r>
    </w:p>
    <w:p w14:paraId="78632649" w14:textId="13197A4B" w:rsidR="008C1217" w:rsidRDefault="008C1217" w:rsidP="009B0707">
      <w:pPr>
        <w:pStyle w:val="Akapitzlist"/>
        <w:numPr>
          <w:ilvl w:val="0"/>
          <w:numId w:val="1"/>
        </w:numPr>
      </w:pPr>
      <w:r>
        <w:t>Normy utrzymania gruntów wchodzących w sk</w:t>
      </w:r>
      <w:r w:rsidR="002E077A">
        <w:t>ład</w:t>
      </w:r>
      <w:r>
        <w:t xml:space="preserve"> gospodarstwa rolnego w dobrej kulturze rolnej zgodnej z ochron</w:t>
      </w:r>
      <w:r w:rsidR="002E077A">
        <w:t>ą</w:t>
      </w:r>
      <w:r>
        <w:t xml:space="preserve"> środowiska (GAEC)</w:t>
      </w:r>
    </w:p>
    <w:p w14:paraId="0EC0C11F" w14:textId="77777777" w:rsidR="00572018" w:rsidRDefault="00C80DD4" w:rsidP="00572018">
      <w:pPr>
        <w:pStyle w:val="Akapitzlist"/>
        <w:numPr>
          <w:ilvl w:val="0"/>
          <w:numId w:val="1"/>
        </w:numPr>
      </w:pPr>
      <w:r>
        <w:t xml:space="preserve">Charakterystyka i znaczenie ekoschematów </w:t>
      </w:r>
      <w:r w:rsidR="008C1217">
        <w:t xml:space="preserve"> </w:t>
      </w:r>
    </w:p>
    <w:p w14:paraId="13BD8CD2" w14:textId="578182DD" w:rsidR="008C1217" w:rsidRDefault="008C1217" w:rsidP="00572018">
      <w:pPr>
        <w:pStyle w:val="Akapitzlist"/>
        <w:numPr>
          <w:ilvl w:val="0"/>
          <w:numId w:val="1"/>
        </w:numPr>
      </w:pPr>
      <w:r>
        <w:t xml:space="preserve">Podstawowe wymogi </w:t>
      </w:r>
      <w:r w:rsidR="002E077A">
        <w:t>w</w:t>
      </w:r>
      <w:r>
        <w:t xml:space="preserve"> zakresie zarz</w:t>
      </w:r>
      <w:r w:rsidR="006341D8">
        <w:t>ą</w:t>
      </w:r>
      <w:r>
        <w:t xml:space="preserve">dzania </w:t>
      </w:r>
    </w:p>
    <w:p w14:paraId="69CFFD7F" w14:textId="77777777" w:rsidR="00730F1B" w:rsidRDefault="00730F1B" w:rsidP="00730F1B">
      <w:pPr>
        <w:pStyle w:val="Akapitzlist"/>
        <w:numPr>
          <w:ilvl w:val="0"/>
          <w:numId w:val="1"/>
        </w:numPr>
      </w:pPr>
      <w:r>
        <w:t>N</w:t>
      </w:r>
      <w:r w:rsidRPr="00730F1B">
        <w:t>eutralność klimatyczna</w:t>
      </w:r>
    </w:p>
    <w:p w14:paraId="6B3CED97" w14:textId="77777777" w:rsidR="00730F1B" w:rsidRDefault="00730F1B" w:rsidP="00730F1B">
      <w:pPr>
        <w:pStyle w:val="Akapitzlist"/>
        <w:numPr>
          <w:ilvl w:val="0"/>
          <w:numId w:val="1"/>
        </w:numPr>
      </w:pPr>
      <w:r>
        <w:t>E</w:t>
      </w:r>
      <w:r w:rsidRPr="00730F1B">
        <w:t>fekt cieplarniany</w:t>
      </w:r>
    </w:p>
    <w:p w14:paraId="1B73AEBF" w14:textId="77777777" w:rsidR="00730F1B" w:rsidRDefault="00730F1B" w:rsidP="00730F1B">
      <w:pPr>
        <w:pStyle w:val="Akapitzlist"/>
        <w:numPr>
          <w:ilvl w:val="0"/>
          <w:numId w:val="1"/>
        </w:numPr>
      </w:pPr>
      <w:r w:rsidRPr="00730F1B">
        <w:t>Gospodarka o obiegu zamkniętym</w:t>
      </w:r>
      <w:r w:rsidR="008C1217">
        <w:t xml:space="preserve"> </w:t>
      </w:r>
    </w:p>
    <w:p w14:paraId="400396A6" w14:textId="77777777" w:rsidR="00D82362" w:rsidRDefault="00D82362" w:rsidP="00D82362">
      <w:pPr>
        <w:pStyle w:val="Akapitzlist"/>
        <w:numPr>
          <w:ilvl w:val="0"/>
          <w:numId w:val="1"/>
        </w:numPr>
      </w:pPr>
      <w:r>
        <w:t xml:space="preserve">Metody walki biologicznej </w:t>
      </w:r>
      <w:r w:rsidR="008C1217">
        <w:t xml:space="preserve">(np. </w:t>
      </w:r>
      <w:r>
        <w:t>z omacnicą prosowianką</w:t>
      </w:r>
      <w:r w:rsidR="008C1217">
        <w:t>)</w:t>
      </w:r>
    </w:p>
    <w:p w14:paraId="64B74029" w14:textId="1E864E60" w:rsidR="00730F1B" w:rsidRDefault="00D82362" w:rsidP="00D82362">
      <w:pPr>
        <w:pStyle w:val="Akapitzlist"/>
        <w:numPr>
          <w:ilvl w:val="0"/>
          <w:numId w:val="1"/>
        </w:numPr>
      </w:pPr>
      <w:r>
        <w:t>Zasady integrowanej produkcji roślin</w:t>
      </w:r>
    </w:p>
    <w:p w14:paraId="65254746" w14:textId="77777777" w:rsidR="00C80DD4" w:rsidRDefault="00C80DD4" w:rsidP="00D82362">
      <w:pPr>
        <w:pStyle w:val="Akapitzlist"/>
        <w:numPr>
          <w:ilvl w:val="0"/>
          <w:numId w:val="1"/>
        </w:numPr>
      </w:pPr>
      <w:r>
        <w:t>Materia organiczna w glebie</w:t>
      </w:r>
    </w:p>
    <w:p w14:paraId="622C3539" w14:textId="77777777" w:rsidR="00572018" w:rsidRDefault="00D650DC" w:rsidP="00D650DC">
      <w:pPr>
        <w:pStyle w:val="Akapitzlist"/>
        <w:numPr>
          <w:ilvl w:val="0"/>
          <w:numId w:val="1"/>
        </w:numPr>
      </w:pPr>
      <w:r w:rsidRPr="00D650DC">
        <w:t>Czynniki chorobotwórcze nieinfekcyjne</w:t>
      </w:r>
      <w:r>
        <w:t xml:space="preserve"> u roślin </w:t>
      </w:r>
    </w:p>
    <w:p w14:paraId="5502C205" w14:textId="77777777" w:rsidR="00D650DC" w:rsidRDefault="00D650DC" w:rsidP="00D650DC">
      <w:pPr>
        <w:pStyle w:val="Akapitzlist"/>
        <w:numPr>
          <w:ilvl w:val="0"/>
          <w:numId w:val="1"/>
        </w:numPr>
      </w:pPr>
      <w:r>
        <w:t>Najważniejsze założenia programu azotanowego</w:t>
      </w:r>
    </w:p>
    <w:p w14:paraId="65DA0C63" w14:textId="77777777" w:rsidR="00D650DC" w:rsidRDefault="00D650DC" w:rsidP="00D650DC">
      <w:pPr>
        <w:pStyle w:val="Akapitzlist"/>
        <w:numPr>
          <w:ilvl w:val="0"/>
          <w:numId w:val="1"/>
        </w:numPr>
      </w:pPr>
      <w:r>
        <w:t xml:space="preserve">Systemy wspierania decyzji </w:t>
      </w:r>
      <w:r w:rsidR="00022722">
        <w:t>w rolnictwie precyzyjnym (programy, aplikacje)</w:t>
      </w:r>
    </w:p>
    <w:p w14:paraId="791A123F" w14:textId="77777777" w:rsidR="00C12165" w:rsidRDefault="00C12165" w:rsidP="00D650DC">
      <w:pPr>
        <w:pStyle w:val="Akapitzlist"/>
        <w:numPr>
          <w:ilvl w:val="0"/>
          <w:numId w:val="1"/>
        </w:numPr>
      </w:pPr>
      <w:r>
        <w:t>Znaczenie  progów ekonomicznej szkodliwości w praktyce rolniczej</w:t>
      </w:r>
    </w:p>
    <w:p w14:paraId="783AE462" w14:textId="77777777" w:rsidR="001A0EAD" w:rsidRDefault="001A0EAD" w:rsidP="00D650DC">
      <w:pPr>
        <w:pStyle w:val="Akapitzlist"/>
        <w:numPr>
          <w:ilvl w:val="0"/>
          <w:numId w:val="1"/>
        </w:numPr>
      </w:pPr>
      <w:r>
        <w:t>Definicja rolnika na potrzeby płatności</w:t>
      </w:r>
    </w:p>
    <w:p w14:paraId="06587A38" w14:textId="42D79075" w:rsidR="001A0EAD" w:rsidRDefault="001A0EAD" w:rsidP="00D650DC">
      <w:pPr>
        <w:pStyle w:val="Akapitzlist"/>
        <w:numPr>
          <w:ilvl w:val="0"/>
          <w:numId w:val="1"/>
        </w:numPr>
      </w:pPr>
      <w:r>
        <w:t>Obowiązki posiadacza zwierząt gospodarskich względem A</w:t>
      </w:r>
      <w:r w:rsidR="00C06F19">
        <w:t>R</w:t>
      </w:r>
      <w:r>
        <w:t>iMR</w:t>
      </w:r>
    </w:p>
    <w:p w14:paraId="7F12ABF7" w14:textId="0CA35D5C" w:rsidR="00C31053" w:rsidRDefault="00C31053" w:rsidP="00D650DC">
      <w:pPr>
        <w:pStyle w:val="Akapitzlist"/>
        <w:numPr>
          <w:ilvl w:val="0"/>
          <w:numId w:val="1"/>
        </w:numPr>
      </w:pPr>
      <w:r>
        <w:t>Rozpoznawanie szkodników w uprawach rolniczych</w:t>
      </w:r>
    </w:p>
    <w:p w14:paraId="0B555824" w14:textId="77777777" w:rsidR="008C1217" w:rsidRDefault="008C1217" w:rsidP="00C06F19">
      <w:pPr>
        <w:ind w:left="360"/>
      </w:pPr>
    </w:p>
    <w:p w14:paraId="64230D7B" w14:textId="77777777" w:rsidR="009B0707" w:rsidRDefault="009B0707" w:rsidP="009B0707"/>
    <w:p w14:paraId="2FC90E90" w14:textId="77777777" w:rsidR="00C12165" w:rsidRDefault="00C12165" w:rsidP="009B0707"/>
    <w:p w14:paraId="4F406CD9" w14:textId="77777777" w:rsidR="00C12165" w:rsidRDefault="00C12165" w:rsidP="009B0707"/>
    <w:sectPr w:rsidR="00C1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C03"/>
    <w:multiLevelType w:val="hybridMultilevel"/>
    <w:tmpl w:val="733A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5C7"/>
    <w:multiLevelType w:val="hybridMultilevel"/>
    <w:tmpl w:val="ECB2157A"/>
    <w:lvl w:ilvl="0" w:tplc="3B70A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52"/>
    <w:rsid w:val="00022722"/>
    <w:rsid w:val="00084CE0"/>
    <w:rsid w:val="001A0EAD"/>
    <w:rsid w:val="002E077A"/>
    <w:rsid w:val="00572018"/>
    <w:rsid w:val="006341D8"/>
    <w:rsid w:val="006C29DE"/>
    <w:rsid w:val="00730F1B"/>
    <w:rsid w:val="00871D72"/>
    <w:rsid w:val="008C1217"/>
    <w:rsid w:val="0093762C"/>
    <w:rsid w:val="009B0707"/>
    <w:rsid w:val="009B11F1"/>
    <w:rsid w:val="00AA2052"/>
    <w:rsid w:val="00C06F19"/>
    <w:rsid w:val="00C12165"/>
    <w:rsid w:val="00C31053"/>
    <w:rsid w:val="00C80DD4"/>
    <w:rsid w:val="00CF4706"/>
    <w:rsid w:val="00D650DC"/>
    <w:rsid w:val="00D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D28A"/>
  <w15:chartTrackingRefBased/>
  <w15:docId w15:val="{E3105D87-D057-42C1-9CB8-BA149EA9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1F1"/>
    <w:pPr>
      <w:ind w:left="720"/>
      <w:contextualSpacing/>
    </w:pPr>
  </w:style>
  <w:style w:type="paragraph" w:customStyle="1" w:styleId="Default">
    <w:name w:val="Default"/>
    <w:rsid w:val="006341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Najechalska</dc:creator>
  <cp:keywords/>
  <dc:description/>
  <cp:lastModifiedBy>Małgorzata Najechalska</cp:lastModifiedBy>
  <cp:revision>9</cp:revision>
  <cp:lastPrinted>2023-09-25T07:28:00Z</cp:lastPrinted>
  <dcterms:created xsi:type="dcterms:W3CDTF">2023-09-20T09:55:00Z</dcterms:created>
  <dcterms:modified xsi:type="dcterms:W3CDTF">2023-09-25T08:31:00Z</dcterms:modified>
</cp:coreProperties>
</file>